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59809BEC" w14:textId="47E06C6C" w:rsidR="009F0634" w:rsidRPr="009F0634" w:rsidRDefault="004811B5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4811B5">
              <w:rPr>
                <w:rStyle w:val="Strong"/>
                <w:sz w:val="28"/>
                <w:szCs w:val="28"/>
              </w:rPr>
              <w:t xml:space="preserve">ДГ  „Мечта“ </w:t>
            </w:r>
            <w:r w:rsidR="009F0634" w:rsidRPr="009F0634">
              <w:rPr>
                <w:rStyle w:val="Strong"/>
                <w:sz w:val="28"/>
                <w:szCs w:val="28"/>
              </w:rPr>
              <w:t>гр.Кюстендил</w:t>
            </w:r>
          </w:p>
          <w:p w14:paraId="7407B180" w14:textId="71B8CC40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172B8A59" w:rsidR="001B4D8F" w:rsidRPr="00B0792C" w:rsidRDefault="00694B32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5A27E2BF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4811B5" w:rsidRPr="004811B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dg-mechta.org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5B2FEFAD" w:rsidR="001B4D8F" w:rsidRPr="00FF3586" w:rsidRDefault="00694B32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04.09.2023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136FE9E9" w:rsidR="001B4D8F" w:rsidRPr="00FF3586" w:rsidRDefault="00694B32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436D10B5" w:rsidR="009D5C63" w:rsidRPr="009D5C63" w:rsidRDefault="004811B5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Бузлуджа № 91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4F6E2163" w:rsidR="004811B5" w:rsidRPr="00345056" w:rsidRDefault="00694B32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t> </w:t>
            </w:r>
            <w:hyperlink r:id="rId10" w:history="1">
              <w:r>
                <w:rPr>
                  <w:rStyle w:val="Hyperlink"/>
                </w:rPr>
                <w:t>info-1000058@edu.mon.bg</w:t>
              </w:r>
            </w:hyperlink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652D8F04" w:rsidR="001B4D8F" w:rsidRPr="00345056" w:rsidRDefault="004811B5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4811B5">
              <w:t>http://dg-mechta.org/index.php/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457FA9FE" w:rsidR="009D5C63" w:rsidRPr="009D5C63" w:rsidRDefault="004811B5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dg_mechta@abv.bg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6BF5CC2" w14:textId="524AEE07" w:rsidR="009D5C63" w:rsidRPr="009D5C63" w:rsidRDefault="009D5C63" w:rsidP="0048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550</w:t>
            </w:r>
            <w:r w:rsidR="004811B5" w:rsidRP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608</w:t>
            </w:r>
            <w:r w:rsid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1BAA1C8" w14:textId="60F0C673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4811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dg-mechta.org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6617B370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4811B5" w:rsidRPr="004811B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 „Мечта“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69F6D8DF" w:rsidR="001B4D8F" w:rsidRPr="00B0792C" w:rsidRDefault="00976043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Pr="004811B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 „Мечта“</w:t>
            </w: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4C9859D0" w:rsidR="001B4D8F" w:rsidRPr="00987B80" w:rsidRDefault="00987B80" w:rsidP="00694B32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</w:t>
            </w:r>
            <w:r w:rsidR="00694B32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4C59C887" w14:textId="77777777" w:rsidR="004811B5" w:rsidRPr="004811B5" w:rsidRDefault="004811B5" w:rsidP="004811B5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</w:p>
          <w:p w14:paraId="1FF8FDB2" w14:textId="2B6EC14E" w:rsidR="00987B80" w:rsidRPr="00987B80" w:rsidRDefault="004811B5" w:rsidP="004811B5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4811B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 „Мечта“ ул. Бузлуджа № 91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694B32">
      <w:headerReference w:type="default" r:id="rId11"/>
      <w:footerReference w:type="default" r:id="rId12"/>
      <w:footerReference w:type="first" r:id="rId13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810E" w14:textId="77777777" w:rsidR="00924646" w:rsidRDefault="00924646" w:rsidP="001B4D8F">
      <w:pPr>
        <w:spacing w:after="0" w:line="240" w:lineRule="auto"/>
      </w:pPr>
      <w:r>
        <w:separator/>
      </w:r>
    </w:p>
  </w:endnote>
  <w:endnote w:type="continuationSeparator" w:id="0">
    <w:p w14:paraId="54352F83" w14:textId="77777777" w:rsidR="00924646" w:rsidRDefault="00924646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5C140842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694B32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694B32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F1E5E85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694B32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1604" w14:textId="77777777" w:rsidR="00924646" w:rsidRDefault="00924646" w:rsidP="001B4D8F">
      <w:pPr>
        <w:spacing w:after="0" w:line="240" w:lineRule="auto"/>
      </w:pPr>
      <w:r>
        <w:separator/>
      </w:r>
    </w:p>
  </w:footnote>
  <w:footnote w:type="continuationSeparator" w:id="0">
    <w:p w14:paraId="43B934B1" w14:textId="77777777" w:rsidR="00924646" w:rsidRDefault="00924646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45056"/>
    <w:rsid w:val="003721EC"/>
    <w:rsid w:val="003E1AAC"/>
    <w:rsid w:val="00447969"/>
    <w:rsid w:val="004811B5"/>
    <w:rsid w:val="00490B88"/>
    <w:rsid w:val="004B6DC0"/>
    <w:rsid w:val="004C6EB6"/>
    <w:rsid w:val="00501157"/>
    <w:rsid w:val="00516DF7"/>
    <w:rsid w:val="00577559"/>
    <w:rsid w:val="005C1D60"/>
    <w:rsid w:val="005C5645"/>
    <w:rsid w:val="006063AC"/>
    <w:rsid w:val="00615515"/>
    <w:rsid w:val="00617C3A"/>
    <w:rsid w:val="00676163"/>
    <w:rsid w:val="006769E6"/>
    <w:rsid w:val="00694B32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24646"/>
    <w:rsid w:val="00963B4C"/>
    <w:rsid w:val="009759BF"/>
    <w:rsid w:val="00976043"/>
    <w:rsid w:val="00987B80"/>
    <w:rsid w:val="009971A6"/>
    <w:rsid w:val="009A6B98"/>
    <w:rsid w:val="009B0EBE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6E6C"/>
    <w:rsid w:val="00D70B83"/>
    <w:rsid w:val="00D77CB2"/>
    <w:rsid w:val="00DA0C75"/>
    <w:rsid w:val="00DF5363"/>
    <w:rsid w:val="00E321DF"/>
    <w:rsid w:val="00E47666"/>
    <w:rsid w:val="00E60EB5"/>
    <w:rsid w:val="00E86EF8"/>
    <w:rsid w:val="00E90D98"/>
    <w:rsid w:val="00EA2429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-1000058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7</cp:revision>
  <dcterms:created xsi:type="dcterms:W3CDTF">2021-08-15T07:20:00Z</dcterms:created>
  <dcterms:modified xsi:type="dcterms:W3CDTF">2023-09-13T12:59:00Z</dcterms:modified>
</cp:coreProperties>
</file>